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B0" w:rsidRPr="00DE65B0" w:rsidRDefault="00DE65B0" w:rsidP="00DE65B0">
      <w:pPr>
        <w:kinsoku w:val="0"/>
        <w:overflowPunct w:val="0"/>
        <w:autoSpaceDE w:val="0"/>
        <w:autoSpaceDN w:val="0"/>
        <w:adjustRightInd w:val="0"/>
        <w:spacing w:after="0" w:line="246" w:lineRule="exact"/>
        <w:ind w:left="2730" w:right="2731"/>
        <w:jc w:val="center"/>
        <w:outlineLvl w:val="0"/>
        <w:rPr>
          <w:rFonts w:ascii="Arial" w:hAnsi="Arial" w:cs="Arial"/>
          <w:b/>
          <w:bCs/>
        </w:rPr>
      </w:pPr>
      <w:r w:rsidRPr="00DE65B0">
        <w:rPr>
          <w:rFonts w:ascii="Arial" w:hAnsi="Arial" w:cs="Arial"/>
          <w:b/>
          <w:bCs/>
        </w:rPr>
        <w:t>COMMITMENT FOR TITLE INSURANCE</w:t>
      </w:r>
    </w:p>
    <w:p w:rsidR="00DE65B0" w:rsidRPr="00DE65B0" w:rsidRDefault="00DE65B0" w:rsidP="00DE65B0">
      <w:pPr>
        <w:kinsoku w:val="0"/>
        <w:overflowPunct w:val="0"/>
        <w:autoSpaceDE w:val="0"/>
        <w:autoSpaceDN w:val="0"/>
        <w:adjustRightInd w:val="0"/>
        <w:spacing w:after="0" w:line="240" w:lineRule="auto"/>
        <w:ind w:left="2731" w:right="2731"/>
        <w:jc w:val="center"/>
        <w:rPr>
          <w:rFonts w:ascii="Arial" w:hAnsi="Arial" w:cs="Arial"/>
          <w:sz w:val="20"/>
          <w:szCs w:val="20"/>
        </w:rPr>
      </w:pPr>
      <w:r w:rsidRPr="00DE65B0">
        <w:rPr>
          <w:rFonts w:ascii="Arial" w:hAnsi="Arial" w:cs="Arial"/>
          <w:sz w:val="20"/>
          <w:szCs w:val="20"/>
        </w:rPr>
        <w:t>Issued By</w:t>
      </w:r>
    </w:p>
    <w:p w:rsidR="00DE65B0" w:rsidRPr="00DE65B0" w:rsidRDefault="00DE65B0" w:rsidP="00DE65B0">
      <w:pPr>
        <w:kinsoku w:val="0"/>
        <w:overflowPunct w:val="0"/>
        <w:autoSpaceDE w:val="0"/>
        <w:autoSpaceDN w:val="0"/>
        <w:adjustRightInd w:val="0"/>
        <w:spacing w:after="0" w:line="240" w:lineRule="auto"/>
        <w:ind w:left="2731" w:right="2731"/>
        <w:jc w:val="center"/>
        <w:outlineLvl w:val="0"/>
        <w:rPr>
          <w:rFonts w:ascii="Arial" w:hAnsi="Arial" w:cs="Arial"/>
          <w:b/>
          <w:bCs/>
        </w:rPr>
      </w:pPr>
      <w:r w:rsidRPr="00DE65B0">
        <w:rPr>
          <w:rFonts w:ascii="Arial" w:hAnsi="Arial" w:cs="Arial"/>
          <w:b/>
          <w:bCs/>
        </w:rPr>
        <w:t>WFG NATIONAL TITLE INSURANCE COMPANY</w:t>
      </w:r>
    </w:p>
    <w:p w:rsidR="00DE65B0" w:rsidRPr="00DE65B0" w:rsidRDefault="00DE65B0" w:rsidP="00DE65B0">
      <w:pPr>
        <w:kinsoku w:val="0"/>
        <w:overflowPunct w:val="0"/>
        <w:autoSpaceDE w:val="0"/>
        <w:autoSpaceDN w:val="0"/>
        <w:adjustRightInd w:val="0"/>
        <w:spacing w:before="66" w:after="0" w:line="240" w:lineRule="auto"/>
        <w:ind w:left="2731" w:right="2731"/>
        <w:jc w:val="center"/>
        <w:rPr>
          <w:rFonts w:ascii="Arial" w:hAnsi="Arial" w:cs="Arial"/>
          <w:b/>
          <w:bCs/>
        </w:rPr>
      </w:pPr>
      <w:r w:rsidRPr="00DE65B0">
        <w:rPr>
          <w:rFonts w:ascii="Arial" w:hAnsi="Arial" w:cs="Arial"/>
          <w:b/>
          <w:bCs/>
        </w:rPr>
        <w:t>SCHEDULE B, PART II</w:t>
      </w:r>
    </w:p>
    <w:p w:rsidR="00DE65B0" w:rsidRPr="00DE65B0" w:rsidRDefault="00DE65B0" w:rsidP="00DE65B0">
      <w:pPr>
        <w:kinsoku w:val="0"/>
        <w:overflowPunct w:val="0"/>
        <w:autoSpaceDE w:val="0"/>
        <w:autoSpaceDN w:val="0"/>
        <w:adjustRightInd w:val="0"/>
        <w:spacing w:before="120" w:after="0" w:line="240" w:lineRule="auto"/>
        <w:ind w:left="2730" w:right="2731"/>
        <w:jc w:val="center"/>
        <w:rPr>
          <w:rFonts w:ascii="Arial" w:hAnsi="Arial" w:cs="Arial"/>
          <w:b/>
          <w:bCs/>
          <w:sz w:val="20"/>
          <w:szCs w:val="20"/>
        </w:rPr>
      </w:pPr>
      <w:r w:rsidRPr="00DE65B0">
        <w:rPr>
          <w:rFonts w:ascii="Arial" w:hAnsi="Arial" w:cs="Arial"/>
          <w:b/>
          <w:bCs/>
          <w:sz w:val="20"/>
          <w:szCs w:val="20"/>
        </w:rPr>
        <w:t>EXCEPTIONS</w:t>
      </w:r>
    </w:p>
    <w:p w:rsidR="00DE65B0" w:rsidRPr="00DE65B0" w:rsidRDefault="00DE65B0" w:rsidP="00DE65B0">
      <w:pPr>
        <w:kinsoku w:val="0"/>
        <w:overflowPunct w:val="0"/>
        <w:autoSpaceDE w:val="0"/>
        <w:autoSpaceDN w:val="0"/>
        <w:adjustRightInd w:val="0"/>
        <w:spacing w:before="120" w:after="0" w:line="240" w:lineRule="auto"/>
        <w:ind w:left="108" w:right="106"/>
        <w:jc w:val="both"/>
        <w:rPr>
          <w:rFonts w:ascii="Arial" w:hAnsi="Arial" w:cs="Arial"/>
          <w:sz w:val="20"/>
          <w:szCs w:val="20"/>
        </w:rPr>
      </w:pPr>
      <w:r w:rsidRPr="00DE65B0">
        <w:rPr>
          <w:rFonts w:ascii="Arial" w:hAnsi="Arial" w:cs="Arial"/>
          <w:sz w:val="20"/>
          <w:szCs w:val="20"/>
        </w:rPr>
        <w:t>THIS COMMITMENT DOES NOT REPUBLISH ANY COVENANT, CONDITION, RESTRICTION, OR LIMITATION CONTAINED IN ANY DOCUMENT REFERRED TO IN THIS COMMITMENT TO THE EXTENT THAT THE SPECIFIC COVENANT, CONDITION, RESTRICTION, OR LIMITATION VIOLATES STATE OR FEDERAL LAW BASED ON RACE, COLOR, RELIGION, SEX, SEXUAL ORIENTATION, GENDER IDENTITY, HANDICAP, FAMILIAL STATUS, OR NATIONAL ORIGIN.</w:t>
      </w:r>
    </w:p>
    <w:p w:rsidR="00DE65B0" w:rsidRPr="00DE65B0" w:rsidRDefault="00DE65B0" w:rsidP="00DE65B0">
      <w:pPr>
        <w:kinsoku w:val="0"/>
        <w:overflowPunct w:val="0"/>
        <w:autoSpaceDE w:val="0"/>
        <w:autoSpaceDN w:val="0"/>
        <w:adjustRightInd w:val="0"/>
        <w:spacing w:after="0" w:line="240" w:lineRule="auto"/>
        <w:rPr>
          <w:rFonts w:ascii="Arial" w:hAnsi="Arial" w:cs="Arial"/>
          <w:sz w:val="20"/>
          <w:szCs w:val="20"/>
        </w:rPr>
      </w:pPr>
    </w:p>
    <w:p w:rsidR="00DE65B0" w:rsidRPr="00DE65B0" w:rsidRDefault="00DE65B0" w:rsidP="00DE65B0">
      <w:pPr>
        <w:kinsoku w:val="0"/>
        <w:overflowPunct w:val="0"/>
        <w:autoSpaceDE w:val="0"/>
        <w:autoSpaceDN w:val="0"/>
        <w:adjustRightInd w:val="0"/>
        <w:spacing w:after="0" w:line="240" w:lineRule="auto"/>
        <w:ind w:left="108" w:right="106"/>
        <w:jc w:val="both"/>
        <w:rPr>
          <w:rFonts w:ascii="Arial" w:hAnsi="Arial" w:cs="Arial"/>
          <w:sz w:val="20"/>
          <w:szCs w:val="20"/>
        </w:rPr>
      </w:pPr>
      <w:r w:rsidRPr="00DE65B0">
        <w:rPr>
          <w:rFonts w:ascii="Arial" w:hAnsi="Arial" w:cs="Arial"/>
          <w:sz w:val="20"/>
          <w:szCs w:val="20"/>
        </w:rPr>
        <w:t>The Policy will not insure against loss or damage resulting from the terms and provisions of any lease or easement identified in Schedule A, and will include the following Exceptions unless cleared to the satisfaction of the Company:</w:t>
      </w:r>
    </w:p>
    <w:p w:rsidR="00DE65B0" w:rsidRPr="00DE65B0" w:rsidRDefault="00DE65B0" w:rsidP="00DE65B0">
      <w:pPr>
        <w:kinsoku w:val="0"/>
        <w:overflowPunct w:val="0"/>
        <w:autoSpaceDE w:val="0"/>
        <w:autoSpaceDN w:val="0"/>
        <w:adjustRightInd w:val="0"/>
        <w:spacing w:after="0" w:line="240" w:lineRule="auto"/>
        <w:rPr>
          <w:rFonts w:ascii="Arial" w:hAnsi="Arial" w:cs="Arial"/>
          <w:sz w:val="20"/>
          <w:szCs w:val="20"/>
        </w:rPr>
      </w:pPr>
    </w:p>
    <w:p w:rsidR="00DE65B0" w:rsidRPr="00DE65B0" w:rsidRDefault="00DE65B0" w:rsidP="00DE65B0">
      <w:pPr>
        <w:numPr>
          <w:ilvl w:val="0"/>
          <w:numId w:val="3"/>
        </w:numPr>
        <w:tabs>
          <w:tab w:val="left" w:pos="828"/>
        </w:tabs>
        <w:kinsoku w:val="0"/>
        <w:overflowPunct w:val="0"/>
        <w:autoSpaceDE w:val="0"/>
        <w:autoSpaceDN w:val="0"/>
        <w:adjustRightInd w:val="0"/>
        <w:spacing w:after="0" w:line="240" w:lineRule="auto"/>
        <w:ind w:right="1717"/>
        <w:rPr>
          <w:rFonts w:ascii="Arial" w:hAnsi="Arial" w:cs="Arial"/>
          <w:sz w:val="20"/>
          <w:szCs w:val="20"/>
        </w:rPr>
      </w:pPr>
      <w:r w:rsidRPr="00DE65B0">
        <w:rPr>
          <w:rFonts w:ascii="Arial" w:hAnsi="Arial" w:cs="Arial"/>
          <w:sz w:val="20"/>
          <w:szCs w:val="20"/>
        </w:rPr>
        <w:t>Those taxes and assessments that become due or payable subsequent to Date of Policy. This does not modify or limit the coverage provided in Covered Risk</w:t>
      </w:r>
      <w:r w:rsidRPr="00DE65B0">
        <w:rPr>
          <w:rFonts w:ascii="Arial" w:hAnsi="Arial" w:cs="Arial"/>
          <w:spacing w:val="-2"/>
          <w:sz w:val="20"/>
          <w:szCs w:val="20"/>
        </w:rPr>
        <w:t xml:space="preserve"> </w:t>
      </w:r>
      <w:r w:rsidRPr="00DE65B0">
        <w:rPr>
          <w:rFonts w:ascii="Arial" w:hAnsi="Arial" w:cs="Arial"/>
          <w:sz w:val="20"/>
          <w:szCs w:val="20"/>
        </w:rPr>
        <w:t>11(b).</w:t>
      </w:r>
    </w:p>
    <w:p w:rsidR="00DE65B0" w:rsidRPr="00DE65B0" w:rsidRDefault="00DE65B0" w:rsidP="00DE65B0">
      <w:pPr>
        <w:numPr>
          <w:ilvl w:val="0"/>
          <w:numId w:val="3"/>
        </w:numPr>
        <w:tabs>
          <w:tab w:val="left" w:pos="828"/>
        </w:tabs>
        <w:kinsoku w:val="0"/>
        <w:overflowPunct w:val="0"/>
        <w:autoSpaceDE w:val="0"/>
        <w:autoSpaceDN w:val="0"/>
        <w:adjustRightInd w:val="0"/>
        <w:spacing w:before="120" w:after="0" w:line="240" w:lineRule="auto"/>
        <w:ind w:right="239"/>
        <w:rPr>
          <w:rFonts w:ascii="Arial" w:hAnsi="Arial" w:cs="Arial"/>
          <w:sz w:val="20"/>
          <w:szCs w:val="20"/>
        </w:rPr>
      </w:pPr>
      <w:r w:rsidRPr="00DE65B0">
        <w:rPr>
          <w:rFonts w:ascii="Arial" w:hAnsi="Arial" w:cs="Arial"/>
          <w:sz w:val="20"/>
          <w:szCs w:val="20"/>
        </w:rPr>
        <w:t>Covenants, conditions, or restrictions, if any, appearing in the Public Records; however, this policy insures against loss or damage arising</w:t>
      </w:r>
      <w:r w:rsidRPr="00DE65B0">
        <w:rPr>
          <w:rFonts w:ascii="Arial" w:hAnsi="Arial" w:cs="Arial"/>
          <w:spacing w:val="-2"/>
          <w:sz w:val="20"/>
          <w:szCs w:val="20"/>
        </w:rPr>
        <w:t xml:space="preserve"> </w:t>
      </w:r>
      <w:r w:rsidRPr="00DE65B0">
        <w:rPr>
          <w:rFonts w:ascii="Arial" w:hAnsi="Arial" w:cs="Arial"/>
          <w:sz w:val="20"/>
          <w:szCs w:val="20"/>
        </w:rPr>
        <w:t>from:</w:t>
      </w:r>
    </w:p>
    <w:p w:rsidR="00DE65B0" w:rsidRPr="00DE65B0" w:rsidRDefault="00DE65B0" w:rsidP="00DE65B0">
      <w:pPr>
        <w:numPr>
          <w:ilvl w:val="1"/>
          <w:numId w:val="3"/>
        </w:numPr>
        <w:tabs>
          <w:tab w:val="left" w:pos="1051"/>
        </w:tabs>
        <w:kinsoku w:val="0"/>
        <w:overflowPunct w:val="0"/>
        <w:autoSpaceDE w:val="0"/>
        <w:autoSpaceDN w:val="0"/>
        <w:adjustRightInd w:val="0"/>
        <w:spacing w:after="0" w:line="240" w:lineRule="auto"/>
        <w:rPr>
          <w:rFonts w:ascii="Arial" w:hAnsi="Arial" w:cs="Arial"/>
          <w:sz w:val="20"/>
          <w:szCs w:val="20"/>
        </w:rPr>
      </w:pPr>
      <w:r w:rsidRPr="00DE65B0">
        <w:rPr>
          <w:rFonts w:ascii="Arial" w:hAnsi="Arial" w:cs="Arial"/>
          <w:sz w:val="20"/>
          <w:szCs w:val="20"/>
        </w:rPr>
        <w:t>the violation of those covenants, conditions, or restrictions on or prior to Date of</w:t>
      </w:r>
      <w:r w:rsidRPr="00DE65B0">
        <w:rPr>
          <w:rFonts w:ascii="Arial" w:hAnsi="Arial" w:cs="Arial"/>
          <w:spacing w:val="-3"/>
          <w:sz w:val="20"/>
          <w:szCs w:val="20"/>
        </w:rPr>
        <w:t xml:space="preserve"> </w:t>
      </w:r>
      <w:r w:rsidRPr="00DE65B0">
        <w:rPr>
          <w:rFonts w:ascii="Arial" w:hAnsi="Arial" w:cs="Arial"/>
          <w:sz w:val="20"/>
          <w:szCs w:val="20"/>
        </w:rPr>
        <w:t>Policy;</w:t>
      </w:r>
    </w:p>
    <w:p w:rsidR="00DE65B0" w:rsidRPr="00DE65B0" w:rsidRDefault="00DE65B0" w:rsidP="00DE65B0">
      <w:pPr>
        <w:numPr>
          <w:ilvl w:val="1"/>
          <w:numId w:val="3"/>
        </w:numPr>
        <w:tabs>
          <w:tab w:val="left" w:pos="1051"/>
        </w:tabs>
        <w:kinsoku w:val="0"/>
        <w:overflowPunct w:val="0"/>
        <w:autoSpaceDE w:val="0"/>
        <w:autoSpaceDN w:val="0"/>
        <w:adjustRightInd w:val="0"/>
        <w:spacing w:after="0" w:line="240" w:lineRule="auto"/>
        <w:ind w:left="1049" w:right="572" w:hanging="222"/>
        <w:rPr>
          <w:rFonts w:ascii="Arial" w:hAnsi="Arial" w:cs="Arial"/>
          <w:sz w:val="20"/>
          <w:szCs w:val="20"/>
        </w:rPr>
      </w:pPr>
      <w:r w:rsidRPr="00DE65B0">
        <w:rPr>
          <w:rFonts w:ascii="Arial" w:hAnsi="Arial" w:cs="Arial"/>
          <w:sz w:val="20"/>
          <w:szCs w:val="20"/>
        </w:rPr>
        <w:t>a forfeiture or reversion of Title from a future violation of those covenants, conditions, or restrictions, including those relating to environmental protection;</w:t>
      </w:r>
      <w:r w:rsidRPr="00DE65B0">
        <w:rPr>
          <w:rFonts w:ascii="Arial" w:hAnsi="Arial" w:cs="Arial"/>
          <w:spacing w:val="-2"/>
          <w:sz w:val="20"/>
          <w:szCs w:val="20"/>
        </w:rPr>
        <w:t xml:space="preserve"> </w:t>
      </w:r>
      <w:r w:rsidRPr="00DE65B0">
        <w:rPr>
          <w:rFonts w:ascii="Arial" w:hAnsi="Arial" w:cs="Arial"/>
          <w:sz w:val="20"/>
          <w:szCs w:val="20"/>
        </w:rPr>
        <w:t>and</w:t>
      </w:r>
    </w:p>
    <w:p w:rsidR="00DE65B0" w:rsidRPr="00DE65B0" w:rsidRDefault="00DE65B0" w:rsidP="00DE65B0">
      <w:pPr>
        <w:numPr>
          <w:ilvl w:val="1"/>
          <w:numId w:val="3"/>
        </w:numPr>
        <w:tabs>
          <w:tab w:val="left" w:pos="1040"/>
        </w:tabs>
        <w:kinsoku w:val="0"/>
        <w:overflowPunct w:val="0"/>
        <w:autoSpaceDE w:val="0"/>
        <w:autoSpaceDN w:val="0"/>
        <w:adjustRightInd w:val="0"/>
        <w:spacing w:after="0" w:line="240" w:lineRule="auto"/>
        <w:ind w:left="1049" w:right="761" w:hanging="222"/>
        <w:rPr>
          <w:rFonts w:ascii="Arial" w:hAnsi="Arial" w:cs="Arial"/>
          <w:sz w:val="20"/>
          <w:szCs w:val="20"/>
        </w:rPr>
      </w:pPr>
      <w:r w:rsidRPr="00DE65B0">
        <w:rPr>
          <w:rFonts w:ascii="Arial" w:hAnsi="Arial" w:cs="Arial"/>
          <w:sz w:val="20"/>
          <w:szCs w:val="20"/>
        </w:rPr>
        <w:t>provisions in those covenants, conditions, or restrictions, including those relating to environmental protection, under which the lien of the Insured Mortgage can be extinguished,</w:t>
      </w:r>
      <w:r w:rsidRPr="00DE65B0">
        <w:rPr>
          <w:rFonts w:ascii="Arial" w:hAnsi="Arial" w:cs="Arial"/>
          <w:spacing w:val="-3"/>
          <w:sz w:val="20"/>
          <w:szCs w:val="20"/>
        </w:rPr>
        <w:t xml:space="preserve"> </w:t>
      </w:r>
      <w:r w:rsidRPr="00DE65B0">
        <w:rPr>
          <w:rFonts w:ascii="Arial" w:hAnsi="Arial" w:cs="Arial"/>
          <w:sz w:val="20"/>
          <w:szCs w:val="20"/>
        </w:rPr>
        <w:t>subordinated,</w:t>
      </w:r>
    </w:p>
    <w:p w:rsidR="00DE65B0" w:rsidRPr="00DE65B0" w:rsidRDefault="00DE65B0" w:rsidP="00DE65B0">
      <w:pPr>
        <w:kinsoku w:val="0"/>
        <w:overflowPunct w:val="0"/>
        <w:autoSpaceDE w:val="0"/>
        <w:autoSpaceDN w:val="0"/>
        <w:adjustRightInd w:val="0"/>
        <w:spacing w:after="0" w:line="240" w:lineRule="auto"/>
        <w:ind w:left="1049"/>
        <w:rPr>
          <w:rFonts w:ascii="Arial" w:hAnsi="Arial" w:cs="Arial"/>
          <w:sz w:val="20"/>
          <w:szCs w:val="20"/>
        </w:rPr>
      </w:pPr>
      <w:proofErr w:type="gramStart"/>
      <w:r w:rsidRPr="00DE65B0">
        <w:rPr>
          <w:rFonts w:ascii="Arial" w:hAnsi="Arial" w:cs="Arial"/>
          <w:sz w:val="20"/>
          <w:szCs w:val="20"/>
        </w:rPr>
        <w:t>or</w:t>
      </w:r>
      <w:proofErr w:type="gramEnd"/>
      <w:r w:rsidRPr="00DE65B0">
        <w:rPr>
          <w:rFonts w:ascii="Arial" w:hAnsi="Arial" w:cs="Arial"/>
          <w:sz w:val="20"/>
          <w:szCs w:val="20"/>
        </w:rPr>
        <w:t xml:space="preserve"> impaired.</w:t>
      </w:r>
    </w:p>
    <w:p w:rsidR="00DE65B0" w:rsidRPr="00DE65B0" w:rsidRDefault="00DE65B0" w:rsidP="00DE65B0">
      <w:pPr>
        <w:kinsoku w:val="0"/>
        <w:overflowPunct w:val="0"/>
        <w:autoSpaceDE w:val="0"/>
        <w:autoSpaceDN w:val="0"/>
        <w:adjustRightInd w:val="0"/>
        <w:spacing w:after="0" w:line="240" w:lineRule="auto"/>
        <w:ind w:left="828" w:right="631"/>
        <w:rPr>
          <w:rFonts w:ascii="Arial" w:hAnsi="Arial" w:cs="Arial"/>
          <w:sz w:val="20"/>
          <w:szCs w:val="20"/>
        </w:rPr>
      </w:pPr>
      <w:r w:rsidRPr="00DE65B0">
        <w:rPr>
          <w:rFonts w:ascii="Arial" w:hAnsi="Arial" w:cs="Arial"/>
          <w:sz w:val="20"/>
          <w:szCs w:val="20"/>
        </w:rPr>
        <w:t>As used in paragraph 2(a), the words “covenants, conditions, or restrictions” do not refer to or include any covenant, condition, or restriction (a) relating to obligations of any type to perform maintenance, repair or remediation on the Land, or (b) pertaining to environmental protection of any kind or nature, including hazardous or toxic matters, conditions, or substances, except to the extent that a notice of a violation or alleged violation affecting the Land has been recorded or filed in the Public Records at Date of Policy and is not referenced in an addendum attached to this policy.</w:t>
      </w:r>
    </w:p>
    <w:p w:rsidR="00DE65B0" w:rsidRPr="00DE65B0" w:rsidRDefault="00DE65B0" w:rsidP="00DE65B0">
      <w:pPr>
        <w:numPr>
          <w:ilvl w:val="0"/>
          <w:numId w:val="3"/>
        </w:numPr>
        <w:tabs>
          <w:tab w:val="left" w:pos="828"/>
        </w:tabs>
        <w:kinsoku w:val="0"/>
        <w:overflowPunct w:val="0"/>
        <w:autoSpaceDE w:val="0"/>
        <w:autoSpaceDN w:val="0"/>
        <w:adjustRightInd w:val="0"/>
        <w:spacing w:before="120" w:after="0" w:line="240" w:lineRule="auto"/>
        <w:ind w:right="238"/>
        <w:rPr>
          <w:rFonts w:ascii="Arial" w:hAnsi="Arial" w:cs="Arial"/>
          <w:sz w:val="20"/>
          <w:szCs w:val="20"/>
        </w:rPr>
      </w:pPr>
      <w:r w:rsidRPr="00DE65B0">
        <w:rPr>
          <w:rFonts w:ascii="Arial" w:hAnsi="Arial" w:cs="Arial"/>
          <w:sz w:val="20"/>
          <w:szCs w:val="20"/>
        </w:rPr>
        <w:t>Any easements or servitudes appearing in the Public Records; however, this policy insures against loss or damage arising from (a) the encroachment, at Date of Policy, of the improvements on any easement,</w:t>
      </w:r>
      <w:r w:rsidRPr="00DE65B0">
        <w:rPr>
          <w:rFonts w:ascii="Arial" w:hAnsi="Arial" w:cs="Arial"/>
          <w:spacing w:val="-1"/>
          <w:sz w:val="20"/>
          <w:szCs w:val="20"/>
        </w:rPr>
        <w:t xml:space="preserve"> </w:t>
      </w:r>
      <w:r w:rsidRPr="00DE65B0">
        <w:rPr>
          <w:rFonts w:ascii="Arial" w:hAnsi="Arial" w:cs="Arial"/>
          <w:sz w:val="20"/>
          <w:szCs w:val="20"/>
        </w:rPr>
        <w:t>and</w:t>
      </w:r>
    </w:p>
    <w:p w:rsidR="00DE65B0" w:rsidRPr="00DE65B0" w:rsidRDefault="00DE65B0" w:rsidP="00DE65B0">
      <w:pPr>
        <w:kinsoku w:val="0"/>
        <w:overflowPunct w:val="0"/>
        <w:autoSpaceDE w:val="0"/>
        <w:autoSpaceDN w:val="0"/>
        <w:adjustRightInd w:val="0"/>
        <w:spacing w:after="0" w:line="240" w:lineRule="auto"/>
        <w:ind w:left="828" w:right="698"/>
        <w:rPr>
          <w:rFonts w:ascii="Arial" w:hAnsi="Arial" w:cs="Arial"/>
          <w:sz w:val="20"/>
          <w:szCs w:val="20"/>
        </w:rPr>
      </w:pPr>
      <w:r w:rsidRPr="00DE65B0">
        <w:rPr>
          <w:rFonts w:ascii="Arial" w:hAnsi="Arial" w:cs="Arial"/>
          <w:sz w:val="20"/>
          <w:szCs w:val="20"/>
        </w:rPr>
        <w:t xml:space="preserve">(b) </w:t>
      </w:r>
      <w:proofErr w:type="gramStart"/>
      <w:r w:rsidRPr="00DE65B0">
        <w:rPr>
          <w:rFonts w:ascii="Arial" w:hAnsi="Arial" w:cs="Arial"/>
          <w:sz w:val="20"/>
          <w:szCs w:val="20"/>
        </w:rPr>
        <w:t>any</w:t>
      </w:r>
      <w:proofErr w:type="gramEnd"/>
      <w:r w:rsidRPr="00DE65B0">
        <w:rPr>
          <w:rFonts w:ascii="Arial" w:hAnsi="Arial" w:cs="Arial"/>
          <w:sz w:val="20"/>
          <w:szCs w:val="20"/>
        </w:rPr>
        <w:t xml:space="preserve"> interference with or damage to existing improvements, including lawns, shrubbery, and trees, resulting from the use of the easements for the purposes granted or reserved.</w:t>
      </w:r>
    </w:p>
    <w:p w:rsidR="00DE65B0" w:rsidRPr="00DE65B0" w:rsidRDefault="00DE65B0" w:rsidP="00DE65B0">
      <w:pPr>
        <w:kinsoku w:val="0"/>
        <w:overflowPunct w:val="0"/>
        <w:autoSpaceDE w:val="0"/>
        <w:autoSpaceDN w:val="0"/>
        <w:adjustRightInd w:val="0"/>
        <w:spacing w:before="120" w:after="0" w:line="240" w:lineRule="auto"/>
        <w:ind w:left="828" w:right="104" w:hanging="720"/>
        <w:rPr>
          <w:rFonts w:ascii="Arial" w:hAnsi="Arial" w:cs="Arial"/>
          <w:sz w:val="20"/>
          <w:szCs w:val="20"/>
        </w:rPr>
      </w:pPr>
      <w:r w:rsidRPr="00DE65B0">
        <w:rPr>
          <w:rFonts w:ascii="Arial" w:hAnsi="Arial" w:cs="Arial"/>
          <w:sz w:val="20"/>
          <w:szCs w:val="20"/>
        </w:rPr>
        <w:t xml:space="preserve">4. </w:t>
      </w:r>
      <w:r w:rsidR="00333530">
        <w:rPr>
          <w:rFonts w:ascii="Arial" w:hAnsi="Arial" w:cs="Arial"/>
          <w:sz w:val="20"/>
          <w:szCs w:val="20"/>
        </w:rPr>
        <w:tab/>
        <w:t>A</w:t>
      </w:r>
      <w:r w:rsidRPr="00DE65B0">
        <w:rPr>
          <w:rFonts w:ascii="Arial" w:hAnsi="Arial" w:cs="Arial"/>
          <w:sz w:val="20"/>
          <w:szCs w:val="20"/>
        </w:rPr>
        <w:t>ny lease, grant, exception, or reservation of minerals or mineral rights or other subsurface substances appearing in the Public Records; however, this policy insures against loss or damage arising from (a) any effect on or impairment of the use of the Land for residential one-to-four family dwelling purposes by reason of such lease, grant, exception or reservation of minerals or mineral rights or other subsurface substances, and (b) any damage to existing improvements, including lawns, shrubbery, and trees, resulting from the future exercise of any right to use the surface of the Land for the extraction or development of the minerals or mineral rights or other subsurface substances so leased, granted, excepted, or reserved. Nothing herein shall insure against loss or damage resulting from contamination, explosion, fire, fracturing, vibration, earthquake or subsidence.</w:t>
      </w:r>
    </w:p>
    <w:p w:rsidR="00DE65B0" w:rsidRPr="00DE65B0" w:rsidRDefault="00DE65B0" w:rsidP="00DE65B0">
      <w:pPr>
        <w:kinsoku w:val="0"/>
        <w:overflowPunct w:val="0"/>
        <w:autoSpaceDE w:val="0"/>
        <w:autoSpaceDN w:val="0"/>
        <w:adjustRightInd w:val="0"/>
        <w:spacing w:before="66" w:after="0" w:line="240" w:lineRule="auto"/>
        <w:ind w:left="2731" w:right="2731"/>
        <w:jc w:val="center"/>
        <w:outlineLvl w:val="0"/>
        <w:rPr>
          <w:rFonts w:ascii="Arial" w:hAnsi="Arial" w:cs="Arial"/>
          <w:b/>
          <w:bCs/>
        </w:rPr>
      </w:pPr>
      <w:r w:rsidRPr="00DE65B0">
        <w:rPr>
          <w:rFonts w:ascii="Arial" w:hAnsi="Arial" w:cs="Arial"/>
          <w:b/>
          <w:bCs/>
        </w:rPr>
        <w:t>End of Schedule B, Part II</w:t>
      </w:r>
    </w:p>
    <w:p w:rsidR="00333530" w:rsidRDefault="00333530"/>
    <w:p w:rsidR="00333530" w:rsidRDefault="00333530" w:rsidP="00333530"/>
    <w:p w:rsidR="006854D9" w:rsidRPr="00333530" w:rsidRDefault="00333530" w:rsidP="00333530">
      <w:pPr>
        <w:tabs>
          <w:tab w:val="left" w:pos="2310"/>
        </w:tabs>
      </w:pPr>
      <w:r>
        <w:tab/>
      </w:r>
    </w:p>
    <w:sectPr w:rsidR="006854D9" w:rsidRPr="00333530" w:rsidSect="00DE65B0">
      <w:headerReference w:type="even" r:id="rId7"/>
      <w:headerReference w:type="default" r:id="rId8"/>
      <w:footerReference w:type="even" r:id="rId9"/>
      <w:footerReference w:type="default" r:id="rId10"/>
      <w:headerReference w:type="first" r:id="rId11"/>
      <w:footerReference w:type="first" r:id="rId12"/>
      <w:pgSz w:w="12240" w:h="15840"/>
      <w:pgMar w:top="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2C" w:rsidRDefault="00E8312C" w:rsidP="00333530">
      <w:pPr>
        <w:spacing w:after="0" w:line="240" w:lineRule="auto"/>
      </w:pPr>
      <w:r>
        <w:separator/>
      </w:r>
    </w:p>
  </w:endnote>
  <w:endnote w:type="continuationSeparator" w:id="0">
    <w:p w:rsidR="00E8312C" w:rsidRDefault="00E8312C" w:rsidP="0033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30" w:rsidRDefault="00333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30" w:rsidRPr="00333530" w:rsidRDefault="00333530">
    <w:pPr>
      <w:pStyle w:val="Footer"/>
      <w:rPr>
        <w:sz w:val="16"/>
        <w:szCs w:val="16"/>
      </w:rPr>
    </w:pPr>
    <w:bookmarkStart w:id="0" w:name="_GoBack"/>
    <w:r w:rsidRPr="00333530">
      <w:rPr>
        <w:sz w:val="16"/>
        <w:szCs w:val="16"/>
      </w:rPr>
      <w:t>3171808-BII ALTA Commitment 08-01-2016 – Schedule BII Colorado</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30" w:rsidRDefault="00333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2C" w:rsidRDefault="00E8312C" w:rsidP="00333530">
      <w:pPr>
        <w:spacing w:after="0" w:line="240" w:lineRule="auto"/>
      </w:pPr>
      <w:r>
        <w:separator/>
      </w:r>
    </w:p>
  </w:footnote>
  <w:footnote w:type="continuationSeparator" w:id="0">
    <w:p w:rsidR="00E8312C" w:rsidRDefault="00E8312C" w:rsidP="00333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30" w:rsidRDefault="00333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30" w:rsidRDefault="003335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30" w:rsidRDefault="00333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828" w:hanging="720"/>
      </w:pPr>
      <w:rPr>
        <w:rFonts w:ascii="Arial" w:hAnsi="Arial" w:cs="Arial"/>
        <w:b w:val="0"/>
        <w:bCs w:val="0"/>
        <w:spacing w:val="-3"/>
        <w:w w:val="100"/>
        <w:sz w:val="20"/>
        <w:szCs w:val="20"/>
      </w:rPr>
    </w:lvl>
    <w:lvl w:ilvl="1">
      <w:start w:val="1"/>
      <w:numFmt w:val="lowerLetter"/>
      <w:lvlText w:val="%2."/>
      <w:lvlJc w:val="left"/>
      <w:pPr>
        <w:ind w:left="1050" w:hanging="223"/>
      </w:pPr>
      <w:rPr>
        <w:rFonts w:ascii="Arial" w:hAnsi="Arial" w:cs="Arial"/>
        <w:b w:val="0"/>
        <w:bCs w:val="0"/>
        <w:spacing w:val="-1"/>
        <w:w w:val="100"/>
        <w:sz w:val="20"/>
        <w:szCs w:val="20"/>
      </w:rPr>
    </w:lvl>
    <w:lvl w:ilvl="2">
      <w:numFmt w:val="bullet"/>
      <w:lvlText w:val="•"/>
      <w:lvlJc w:val="left"/>
      <w:pPr>
        <w:ind w:left="2102" w:hanging="223"/>
      </w:pPr>
    </w:lvl>
    <w:lvl w:ilvl="3">
      <w:numFmt w:val="bullet"/>
      <w:lvlText w:val="•"/>
      <w:lvlJc w:val="left"/>
      <w:pPr>
        <w:ind w:left="3144" w:hanging="223"/>
      </w:pPr>
    </w:lvl>
    <w:lvl w:ilvl="4">
      <w:numFmt w:val="bullet"/>
      <w:lvlText w:val="•"/>
      <w:lvlJc w:val="left"/>
      <w:pPr>
        <w:ind w:left="4186" w:hanging="223"/>
      </w:pPr>
    </w:lvl>
    <w:lvl w:ilvl="5">
      <w:numFmt w:val="bullet"/>
      <w:lvlText w:val="•"/>
      <w:lvlJc w:val="left"/>
      <w:pPr>
        <w:ind w:left="5228" w:hanging="223"/>
      </w:pPr>
    </w:lvl>
    <w:lvl w:ilvl="6">
      <w:numFmt w:val="bullet"/>
      <w:lvlText w:val="•"/>
      <w:lvlJc w:val="left"/>
      <w:pPr>
        <w:ind w:left="6271" w:hanging="223"/>
      </w:pPr>
    </w:lvl>
    <w:lvl w:ilvl="7">
      <w:numFmt w:val="bullet"/>
      <w:lvlText w:val="•"/>
      <w:lvlJc w:val="left"/>
      <w:pPr>
        <w:ind w:left="7313" w:hanging="223"/>
      </w:pPr>
    </w:lvl>
    <w:lvl w:ilvl="8">
      <w:numFmt w:val="bullet"/>
      <w:lvlText w:val="•"/>
      <w:lvlJc w:val="left"/>
      <w:pPr>
        <w:ind w:left="8355" w:hanging="223"/>
      </w:pPr>
    </w:lvl>
  </w:abstractNum>
  <w:abstractNum w:abstractNumId="1"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69E83CA6"/>
    <w:multiLevelType w:val="multilevel"/>
    <w:tmpl w:val="D0CEED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B0"/>
    <w:rsid w:val="00333530"/>
    <w:rsid w:val="005F0104"/>
    <w:rsid w:val="006854D9"/>
    <w:rsid w:val="00DE65B0"/>
    <w:rsid w:val="00E8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FEAF3-0DB8-4BEF-9A41-2E9C1248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qFormat/>
    <w:rsid w:val="005F0104"/>
    <w:pPr>
      <w:numPr>
        <w:numId w:val="2"/>
      </w:numPr>
      <w:tabs>
        <w:tab w:val="left" w:pos="1890"/>
      </w:tabs>
      <w:spacing w:before="200" w:after="120" w:line="240" w:lineRule="auto"/>
      <w:ind w:left="2250" w:right="144" w:hanging="360"/>
      <w:outlineLvl w:val="2"/>
    </w:pPr>
    <w:rPr>
      <w:rFonts w:ascii="Times New Roman" w:eastAsia="Segoe U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Header">
    <w:name w:val="header"/>
    <w:basedOn w:val="Normal"/>
    <w:link w:val="HeaderChar"/>
    <w:uiPriority w:val="99"/>
    <w:unhideWhenUsed/>
    <w:rsid w:val="00333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30"/>
  </w:style>
  <w:style w:type="paragraph" w:styleId="Footer">
    <w:name w:val="footer"/>
    <w:basedOn w:val="Normal"/>
    <w:link w:val="FooterChar"/>
    <w:uiPriority w:val="99"/>
    <w:unhideWhenUsed/>
    <w:rsid w:val="00333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2</cp:revision>
  <dcterms:created xsi:type="dcterms:W3CDTF">2021-02-23T17:25:00Z</dcterms:created>
  <dcterms:modified xsi:type="dcterms:W3CDTF">2021-02-23T17:25:00Z</dcterms:modified>
</cp:coreProperties>
</file>